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DE6" w:rsidRPr="00DD1DE6" w:rsidRDefault="00DD1DE6" w:rsidP="00B04164">
      <w:pPr>
        <w:spacing w:before="100" w:beforeAutospacing="1" w:after="100" w:afterAutospacing="1" w:line="480" w:lineRule="auto"/>
        <w:ind w:firstLine="284"/>
        <w:rPr>
          <w:rFonts w:ascii="Times New Roman" w:hAnsi="Times New Roman" w:cs="Times New Roman"/>
          <w:sz w:val="24"/>
          <w:szCs w:val="24"/>
        </w:rPr>
      </w:pPr>
    </w:p>
    <w:p w:rsidR="00DD1DE6" w:rsidRPr="00DD1DE6" w:rsidRDefault="00DD1DE6" w:rsidP="00B04164">
      <w:pPr>
        <w:spacing w:before="100" w:beforeAutospacing="1" w:after="100" w:afterAutospacing="1" w:line="480" w:lineRule="auto"/>
        <w:ind w:firstLine="284"/>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r w:rsidRPr="00DD1DE6">
        <w:rPr>
          <w:rFonts w:ascii="Times New Roman" w:hAnsi="Times New Roman" w:cs="Times New Roman"/>
          <w:sz w:val="24"/>
          <w:szCs w:val="24"/>
        </w:rPr>
        <w:t>Name</w:t>
      </w: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r w:rsidRPr="00DD1DE6">
        <w:rPr>
          <w:rFonts w:ascii="Times New Roman" w:hAnsi="Times New Roman" w:cs="Times New Roman"/>
          <w:sz w:val="24"/>
          <w:szCs w:val="24"/>
        </w:rPr>
        <w:t>Institution</w:t>
      </w: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r w:rsidRPr="00DD1DE6">
        <w:rPr>
          <w:rFonts w:ascii="Times New Roman" w:hAnsi="Times New Roman" w:cs="Times New Roman"/>
          <w:sz w:val="24"/>
          <w:szCs w:val="24"/>
        </w:rPr>
        <w:t>Date</w:t>
      </w: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r w:rsidRPr="00DD1DE6">
        <w:rPr>
          <w:rFonts w:ascii="Times New Roman" w:hAnsi="Times New Roman" w:cs="Times New Roman"/>
          <w:sz w:val="24"/>
          <w:szCs w:val="24"/>
        </w:rPr>
        <w:t>Healthcare</w:t>
      </w: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jc w:val="center"/>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ind w:firstLine="284"/>
        <w:rPr>
          <w:rFonts w:ascii="Times New Roman" w:hAnsi="Times New Roman" w:cs="Times New Roman"/>
          <w:sz w:val="24"/>
          <w:szCs w:val="24"/>
        </w:rPr>
      </w:pPr>
      <w:bookmarkStart w:id="0" w:name="_GoBack"/>
      <w:bookmarkEnd w:id="0"/>
      <w:r w:rsidRPr="00DD1DE6">
        <w:rPr>
          <w:rFonts w:ascii="Times New Roman" w:hAnsi="Times New Roman" w:cs="Times New Roman"/>
          <w:sz w:val="24"/>
          <w:szCs w:val="24"/>
        </w:rPr>
        <w:lastRenderedPageBreak/>
        <w:t xml:space="preserve">The windshield and walking survey provided relevant information on the aspects that promote health in the built environment. Two aspects promote built environment which are recreational services and health care organizations. Health care organizations address community members’ urgent health needs when their health conditions worsen. The voluntary services take keen on community members’ health as they test and provide recommendable medicinal substances to enhance improved health. Recreational services, on the other hand, entail a variety of exercises such as running in fields and going to the gym. Community members exercise activities enhance bones flexibility and instances of obesity and laziness are highly reduced. Overall, community health is high due to several activities and attention as there is an understanding of productivity increase with the wellbeing of individuals’ health. (Berthold, Miller &amp; Avila-Esparza, 2009) </w:t>
      </w:r>
    </w:p>
    <w:p w:rsidR="00DD1DE6" w:rsidRPr="00DD1DE6" w:rsidRDefault="00DD1DE6" w:rsidP="00DD1DE6">
      <w:pPr>
        <w:spacing w:before="100" w:beforeAutospacing="1" w:after="100" w:afterAutospacing="1" w:line="480" w:lineRule="auto"/>
        <w:ind w:firstLine="284"/>
        <w:rPr>
          <w:rFonts w:ascii="Times New Roman" w:hAnsi="Times New Roman" w:cs="Times New Roman"/>
          <w:sz w:val="24"/>
          <w:szCs w:val="24"/>
        </w:rPr>
      </w:pPr>
      <w:r w:rsidRPr="00DD1DE6">
        <w:rPr>
          <w:rFonts w:ascii="Times New Roman" w:hAnsi="Times New Roman" w:cs="Times New Roman"/>
          <w:sz w:val="24"/>
          <w:szCs w:val="24"/>
        </w:rPr>
        <w:t xml:space="preserve">Although there are aspects that promote health, there are others that discourage it in the built environment. The first aspect is the increased construction of homes close to each other. Several homes are now built on public areas where people would go and exercise to burn calories. Individuals are finding it hard due to congestion. The other aspect is political activities where corruption has led to public property grabbing. Cycling, exercising or even constructing swimming polls has been difficult hence health deterioration. </w:t>
      </w:r>
    </w:p>
    <w:p w:rsidR="00DD1DE6" w:rsidRDefault="00DD1DE6" w:rsidP="00DD1DE6">
      <w:pPr>
        <w:spacing w:before="100" w:beforeAutospacing="1" w:after="100" w:afterAutospacing="1" w:line="480" w:lineRule="auto"/>
        <w:ind w:firstLine="284"/>
        <w:rPr>
          <w:rFonts w:ascii="Times New Roman" w:hAnsi="Times New Roman" w:cs="Times New Roman"/>
          <w:sz w:val="24"/>
          <w:szCs w:val="24"/>
        </w:rPr>
      </w:pPr>
      <w:r w:rsidRPr="00DD1DE6">
        <w:rPr>
          <w:rFonts w:ascii="Times New Roman" w:hAnsi="Times New Roman" w:cs="Times New Roman"/>
          <w:sz w:val="24"/>
          <w:szCs w:val="24"/>
        </w:rPr>
        <w:t>There are larger forces that are likely to influence the built environment composition from the survey. This mainly has been contributed by the increased population. There is a huge demand for houses to accommodate people and the effect on land is land division and use of public facilities. “Overall, health attention shifts due to the increased number of individuals and accessibility becomes an issue.” (Berthold, Miller &amp; Avila-Esparza, 2009)</w:t>
      </w:r>
    </w:p>
    <w:p w:rsidR="00DD1DE6" w:rsidRPr="00DD1DE6" w:rsidRDefault="00DD1DE6" w:rsidP="00DD1DE6">
      <w:pPr>
        <w:spacing w:before="100" w:beforeAutospacing="1" w:after="100" w:afterAutospacing="1" w:line="480" w:lineRule="auto"/>
        <w:ind w:firstLine="284"/>
        <w:rPr>
          <w:rFonts w:ascii="Times New Roman" w:hAnsi="Times New Roman" w:cs="Times New Roman"/>
          <w:sz w:val="24"/>
          <w:szCs w:val="24"/>
        </w:rPr>
      </w:pPr>
    </w:p>
    <w:p w:rsidR="00DD1DE6" w:rsidRPr="00DD1DE6" w:rsidRDefault="00DD1DE6" w:rsidP="00DD1DE6">
      <w:pPr>
        <w:spacing w:before="100" w:beforeAutospacing="1" w:after="100" w:afterAutospacing="1" w:line="480" w:lineRule="auto"/>
        <w:jc w:val="center"/>
        <w:rPr>
          <w:rFonts w:ascii="Times New Roman" w:hAnsi="Times New Roman" w:cs="Times New Roman"/>
          <w:sz w:val="24"/>
          <w:szCs w:val="24"/>
        </w:rPr>
      </w:pPr>
      <w:r w:rsidRPr="00DD1DE6">
        <w:rPr>
          <w:rFonts w:ascii="Times New Roman" w:hAnsi="Times New Roman" w:cs="Times New Roman"/>
          <w:sz w:val="24"/>
          <w:szCs w:val="24"/>
        </w:rPr>
        <w:lastRenderedPageBreak/>
        <w:t>References</w:t>
      </w:r>
    </w:p>
    <w:p w:rsidR="00DD1DE6" w:rsidRPr="00DD1DE6" w:rsidRDefault="00DD1DE6" w:rsidP="00DD1DE6">
      <w:pPr>
        <w:spacing w:before="100" w:beforeAutospacing="1" w:after="100" w:afterAutospacing="1" w:line="480" w:lineRule="auto"/>
        <w:rPr>
          <w:rFonts w:ascii="Times New Roman" w:hAnsi="Times New Roman" w:cs="Times New Roman"/>
          <w:sz w:val="24"/>
          <w:szCs w:val="24"/>
        </w:rPr>
      </w:pPr>
      <w:r w:rsidRPr="00DD1DE6">
        <w:rPr>
          <w:rFonts w:ascii="Times New Roman" w:eastAsia="Arial Unicode MS" w:hAnsi="Times New Roman" w:cs="Times New Roman"/>
          <w:color w:val="000000"/>
          <w:sz w:val="24"/>
          <w:szCs w:val="24"/>
          <w:shd w:val="clear" w:color="auto" w:fill="FFFFFF"/>
        </w:rPr>
        <w:t>Berthold, T., Miller, J., &amp; Avila-Esparza, A. (2009). </w:t>
      </w:r>
      <w:r w:rsidRPr="00DD1DE6">
        <w:rPr>
          <w:rFonts w:ascii="Times New Roman" w:eastAsia="Arial Unicode MS" w:hAnsi="Times New Roman" w:cs="Times New Roman"/>
          <w:i/>
          <w:iCs/>
          <w:color w:val="000000"/>
          <w:sz w:val="24"/>
          <w:szCs w:val="24"/>
          <w:shd w:val="clear" w:color="auto" w:fill="FFFFFF"/>
        </w:rPr>
        <w:t>Foundations for community health workers</w:t>
      </w:r>
      <w:r w:rsidRPr="00DD1DE6">
        <w:rPr>
          <w:rFonts w:ascii="Times New Roman" w:eastAsia="Arial Unicode MS" w:hAnsi="Times New Roman" w:cs="Times New Roman"/>
          <w:color w:val="000000"/>
          <w:sz w:val="24"/>
          <w:szCs w:val="24"/>
          <w:shd w:val="clear" w:color="auto" w:fill="FFFFFF"/>
        </w:rPr>
        <w:t>. San Francisco, CA: Jossey-Bass.</w:t>
      </w:r>
    </w:p>
    <w:p w:rsidR="00DD1DE6" w:rsidRPr="00DD1DE6" w:rsidRDefault="00DD1DE6" w:rsidP="00DD1DE6">
      <w:pPr>
        <w:spacing w:before="100" w:beforeAutospacing="1" w:after="100" w:afterAutospacing="1" w:line="480" w:lineRule="auto"/>
        <w:rPr>
          <w:rFonts w:ascii="Times New Roman" w:hAnsi="Times New Roman" w:cs="Times New Roman"/>
          <w:sz w:val="24"/>
          <w:szCs w:val="24"/>
        </w:rPr>
      </w:pPr>
    </w:p>
    <w:sectPr w:rsidR="00DD1DE6" w:rsidRPr="00DD1DE6" w:rsidSect="00DD1DE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C12" w:rsidRDefault="00A47C12" w:rsidP="00DD1DE6">
      <w:pPr>
        <w:spacing w:after="0" w:line="240" w:lineRule="auto"/>
      </w:pPr>
      <w:r>
        <w:separator/>
      </w:r>
    </w:p>
  </w:endnote>
  <w:endnote w:type="continuationSeparator" w:id="1">
    <w:p w:rsidR="00A47C12" w:rsidRDefault="00A47C12" w:rsidP="00DD1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C12" w:rsidRDefault="00A47C12" w:rsidP="00DD1DE6">
      <w:pPr>
        <w:spacing w:after="0" w:line="240" w:lineRule="auto"/>
      </w:pPr>
      <w:r>
        <w:separator/>
      </w:r>
    </w:p>
  </w:footnote>
  <w:footnote w:type="continuationSeparator" w:id="1">
    <w:p w:rsidR="00A47C12" w:rsidRDefault="00A47C12" w:rsidP="00DD1D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E6" w:rsidRPr="00DD1DE6" w:rsidRDefault="00DD1DE6">
    <w:pPr>
      <w:pStyle w:val="Header"/>
      <w:jc w:val="right"/>
      <w:rPr>
        <w:rFonts w:ascii="Times New Roman" w:hAnsi="Times New Roman" w:cs="Times New Roman"/>
        <w:sz w:val="24"/>
        <w:szCs w:val="24"/>
      </w:rPr>
    </w:pPr>
    <w:r w:rsidRPr="00DD1DE6">
      <w:rPr>
        <w:rFonts w:ascii="Times New Roman" w:hAnsi="Times New Roman" w:cs="Times New Roman"/>
        <w:sz w:val="24"/>
        <w:szCs w:val="24"/>
      </w:rPr>
      <w:t>HEALTHCARE</w:t>
    </w:r>
    <w:r w:rsidRPr="00DD1DE6">
      <w:rPr>
        <w:rFonts w:ascii="Times New Roman" w:hAnsi="Times New Roman" w:cs="Times New Roman"/>
        <w:sz w:val="24"/>
        <w:szCs w:val="24"/>
      </w:rPr>
      <w:tab/>
    </w:r>
    <w:r w:rsidRPr="00DD1DE6">
      <w:rPr>
        <w:rFonts w:ascii="Times New Roman" w:hAnsi="Times New Roman" w:cs="Times New Roman"/>
        <w:sz w:val="24"/>
        <w:szCs w:val="24"/>
      </w:rPr>
      <w:tab/>
    </w:r>
    <w:sdt>
      <w:sdtPr>
        <w:rPr>
          <w:rFonts w:ascii="Times New Roman" w:hAnsi="Times New Roman" w:cs="Times New Roman"/>
          <w:sz w:val="24"/>
          <w:szCs w:val="24"/>
        </w:rPr>
        <w:id w:val="156560251"/>
        <w:docPartObj>
          <w:docPartGallery w:val="Page Numbers (Top of Page)"/>
          <w:docPartUnique/>
        </w:docPartObj>
      </w:sdtPr>
      <w:sdtContent>
        <w:r w:rsidRPr="00DD1DE6">
          <w:rPr>
            <w:rFonts w:ascii="Times New Roman" w:hAnsi="Times New Roman" w:cs="Times New Roman"/>
            <w:sz w:val="24"/>
            <w:szCs w:val="24"/>
          </w:rPr>
          <w:fldChar w:fldCharType="begin"/>
        </w:r>
        <w:r w:rsidRPr="00DD1DE6">
          <w:rPr>
            <w:rFonts w:ascii="Times New Roman" w:hAnsi="Times New Roman" w:cs="Times New Roman"/>
            <w:sz w:val="24"/>
            <w:szCs w:val="24"/>
          </w:rPr>
          <w:instrText xml:space="preserve"> PAGE   \* MERGEFORMAT </w:instrText>
        </w:r>
        <w:r w:rsidRPr="00DD1DE6">
          <w:rPr>
            <w:rFonts w:ascii="Times New Roman" w:hAnsi="Times New Roman" w:cs="Times New Roman"/>
            <w:sz w:val="24"/>
            <w:szCs w:val="24"/>
          </w:rPr>
          <w:fldChar w:fldCharType="separate"/>
        </w:r>
        <w:r>
          <w:rPr>
            <w:rFonts w:ascii="Times New Roman" w:hAnsi="Times New Roman" w:cs="Times New Roman"/>
            <w:noProof/>
            <w:sz w:val="24"/>
            <w:szCs w:val="24"/>
          </w:rPr>
          <w:t>3</w:t>
        </w:r>
        <w:r w:rsidRPr="00DD1DE6">
          <w:rPr>
            <w:rFonts w:ascii="Times New Roman" w:hAnsi="Times New Roman" w:cs="Times New Roman"/>
            <w:sz w:val="24"/>
            <w:szCs w:val="24"/>
          </w:rPr>
          <w:fldChar w:fldCharType="end"/>
        </w:r>
      </w:sdtContent>
    </w:sdt>
  </w:p>
  <w:p w:rsidR="00DD1DE6" w:rsidRPr="00DD1DE6" w:rsidRDefault="00DD1DE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E6" w:rsidRPr="00DD1DE6" w:rsidRDefault="00DD1DE6">
    <w:pPr>
      <w:pStyle w:val="Header"/>
      <w:jc w:val="right"/>
      <w:rPr>
        <w:rFonts w:ascii="Times New Roman" w:hAnsi="Times New Roman" w:cs="Times New Roman"/>
        <w:sz w:val="24"/>
        <w:szCs w:val="24"/>
      </w:rPr>
    </w:pPr>
    <w:r w:rsidRPr="00DD1DE6">
      <w:rPr>
        <w:rFonts w:ascii="Times New Roman" w:hAnsi="Times New Roman" w:cs="Times New Roman"/>
        <w:sz w:val="24"/>
        <w:szCs w:val="24"/>
      </w:rPr>
      <w:t>Running Head: HEALTHCARE</w:t>
    </w:r>
    <w:r w:rsidRPr="00DD1DE6">
      <w:rPr>
        <w:rFonts w:ascii="Times New Roman" w:hAnsi="Times New Roman" w:cs="Times New Roman"/>
        <w:sz w:val="24"/>
        <w:szCs w:val="24"/>
      </w:rPr>
      <w:tab/>
    </w:r>
    <w:r w:rsidRPr="00DD1DE6">
      <w:rPr>
        <w:rFonts w:ascii="Times New Roman" w:hAnsi="Times New Roman" w:cs="Times New Roman"/>
        <w:sz w:val="24"/>
        <w:szCs w:val="24"/>
      </w:rPr>
      <w:tab/>
    </w:r>
    <w:sdt>
      <w:sdtPr>
        <w:rPr>
          <w:rFonts w:ascii="Times New Roman" w:hAnsi="Times New Roman" w:cs="Times New Roman"/>
          <w:sz w:val="24"/>
          <w:szCs w:val="24"/>
        </w:rPr>
        <w:id w:val="156560265"/>
        <w:docPartObj>
          <w:docPartGallery w:val="Page Numbers (Top of Page)"/>
          <w:docPartUnique/>
        </w:docPartObj>
      </w:sdtPr>
      <w:sdtContent>
        <w:r w:rsidRPr="00DD1DE6">
          <w:rPr>
            <w:rFonts w:ascii="Times New Roman" w:hAnsi="Times New Roman" w:cs="Times New Roman"/>
            <w:sz w:val="24"/>
            <w:szCs w:val="24"/>
          </w:rPr>
          <w:fldChar w:fldCharType="begin"/>
        </w:r>
        <w:r w:rsidRPr="00DD1DE6">
          <w:rPr>
            <w:rFonts w:ascii="Times New Roman" w:hAnsi="Times New Roman" w:cs="Times New Roman"/>
            <w:sz w:val="24"/>
            <w:szCs w:val="24"/>
          </w:rPr>
          <w:instrText xml:space="preserve"> PAGE   \* MERGEFORMAT </w:instrText>
        </w:r>
        <w:r w:rsidRPr="00DD1DE6">
          <w:rPr>
            <w:rFonts w:ascii="Times New Roman" w:hAnsi="Times New Roman" w:cs="Times New Roman"/>
            <w:sz w:val="24"/>
            <w:szCs w:val="24"/>
          </w:rPr>
          <w:fldChar w:fldCharType="separate"/>
        </w:r>
        <w:r>
          <w:rPr>
            <w:rFonts w:ascii="Times New Roman" w:hAnsi="Times New Roman" w:cs="Times New Roman"/>
            <w:noProof/>
            <w:sz w:val="24"/>
            <w:szCs w:val="24"/>
          </w:rPr>
          <w:t>1</w:t>
        </w:r>
        <w:r w:rsidRPr="00DD1DE6">
          <w:rPr>
            <w:rFonts w:ascii="Times New Roman" w:hAnsi="Times New Roman" w:cs="Times New Roman"/>
            <w:sz w:val="24"/>
            <w:szCs w:val="24"/>
          </w:rPr>
          <w:fldChar w:fldCharType="end"/>
        </w:r>
      </w:sdtContent>
    </w:sdt>
  </w:p>
  <w:p w:rsidR="00DD1DE6" w:rsidRPr="00DD1DE6" w:rsidRDefault="00DD1DE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4708"/>
    <w:rsid w:val="00011260"/>
    <w:rsid w:val="001C0614"/>
    <w:rsid w:val="002A1554"/>
    <w:rsid w:val="00320039"/>
    <w:rsid w:val="00645E35"/>
    <w:rsid w:val="00817D36"/>
    <w:rsid w:val="00A47C12"/>
    <w:rsid w:val="00B04164"/>
    <w:rsid w:val="00C918C0"/>
    <w:rsid w:val="00DD1DE6"/>
    <w:rsid w:val="00DD4708"/>
    <w:rsid w:val="00EB5C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DE6"/>
  </w:style>
  <w:style w:type="paragraph" w:styleId="Footer">
    <w:name w:val="footer"/>
    <w:basedOn w:val="Normal"/>
    <w:link w:val="FooterChar"/>
    <w:uiPriority w:val="99"/>
    <w:semiHidden/>
    <w:unhideWhenUsed/>
    <w:rsid w:val="00DD1D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1D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2019-12-03T15:08:00Z</dcterms:created>
  <dcterms:modified xsi:type="dcterms:W3CDTF">2019-12-03T15:08:00Z</dcterms:modified>
</cp:coreProperties>
</file>